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25"/>
      </w:tblGrid>
      <w:tr w:rsidR="00BA7114" w:rsidRPr="00BA7114" w:rsidTr="00BA7114">
        <w:trPr>
          <w:tblCellSpacing w:w="15" w:type="dxa"/>
        </w:trPr>
        <w:tc>
          <w:tcPr>
            <w:tcW w:w="3000" w:type="dxa"/>
            <w:shd w:val="clear" w:color="auto" w:fill="FFFFFF"/>
            <w:tcMar>
              <w:top w:w="25" w:type="dxa"/>
              <w:left w:w="25" w:type="dxa"/>
              <w:bottom w:w="25" w:type="dxa"/>
              <w:right w:w="25" w:type="dxa"/>
            </w:tcMar>
            <w:hideMark/>
          </w:tcPr>
          <w:p w:rsidR="00BA7114" w:rsidRPr="00BA7114" w:rsidRDefault="00BA7114" w:rsidP="00BA7114">
            <w:pPr>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CHÍNH PHỦ</w:t>
            </w:r>
            <w:r w:rsidRPr="00BA7114">
              <w:rPr>
                <w:rFonts w:ascii="Verdana" w:eastAsia="Times New Roman" w:hAnsi="Verdana" w:cs="Times New Roman"/>
                <w:b/>
                <w:bCs/>
                <w:color w:val="000000"/>
                <w:sz w:val="20"/>
                <w:szCs w:val="20"/>
              </w:rPr>
              <w:br/>
            </w:r>
            <w:r w:rsidRPr="00BA7114">
              <w:rPr>
                <w:rFonts w:ascii="Verdana" w:eastAsia="Times New Roman" w:hAnsi="Verdana" w:cs="Times New Roman"/>
                <w:color w:val="000000"/>
                <w:sz w:val="20"/>
                <w:szCs w:val="20"/>
              </w:rPr>
              <w:t>******</w:t>
            </w:r>
          </w:p>
        </w:tc>
        <w:tc>
          <w:tcPr>
            <w:tcW w:w="0" w:type="auto"/>
            <w:shd w:val="clear" w:color="auto" w:fill="FFFFFF"/>
            <w:tcMar>
              <w:top w:w="25" w:type="dxa"/>
              <w:left w:w="25" w:type="dxa"/>
              <w:bottom w:w="25" w:type="dxa"/>
              <w:right w:w="25" w:type="dxa"/>
            </w:tcMar>
            <w:hideMark/>
          </w:tcPr>
          <w:p w:rsidR="00BA7114" w:rsidRPr="00BA7114" w:rsidRDefault="00BA7114" w:rsidP="00BA7114">
            <w:pPr>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CỘNG HOÀ XÃ HỘI CHỦ NGHĨA VIỆT NAM</w:t>
            </w:r>
            <w:r w:rsidRPr="00BA7114">
              <w:rPr>
                <w:rFonts w:ascii="Verdana" w:eastAsia="Times New Roman" w:hAnsi="Verdana" w:cs="Times New Roman"/>
                <w:b/>
                <w:bCs/>
                <w:color w:val="000000"/>
                <w:sz w:val="20"/>
                <w:szCs w:val="20"/>
              </w:rPr>
              <w:br/>
              <w:t>Độc lập - Tự do - Hạnh phúc</w:t>
            </w:r>
            <w:r w:rsidRPr="00BA7114">
              <w:rPr>
                <w:rFonts w:ascii="Verdana" w:eastAsia="Times New Roman" w:hAnsi="Verdana" w:cs="Times New Roman"/>
                <w:b/>
                <w:bCs/>
                <w:color w:val="000000"/>
                <w:sz w:val="20"/>
                <w:szCs w:val="20"/>
              </w:rPr>
              <w:br/>
            </w:r>
            <w:r w:rsidRPr="00BA7114">
              <w:rPr>
                <w:rFonts w:ascii="Verdana" w:eastAsia="Times New Roman" w:hAnsi="Verdana" w:cs="Times New Roman"/>
                <w:color w:val="000000"/>
                <w:sz w:val="20"/>
                <w:szCs w:val="20"/>
              </w:rPr>
              <w:t>********</w:t>
            </w:r>
          </w:p>
        </w:tc>
      </w:tr>
      <w:tr w:rsidR="00BA7114" w:rsidRPr="00BA7114" w:rsidTr="00BA7114">
        <w:trPr>
          <w:tblCellSpacing w:w="15" w:type="dxa"/>
        </w:trPr>
        <w:tc>
          <w:tcPr>
            <w:tcW w:w="3000" w:type="dxa"/>
            <w:shd w:val="clear" w:color="auto" w:fill="FFFFFF"/>
            <w:tcMar>
              <w:top w:w="25" w:type="dxa"/>
              <w:left w:w="25" w:type="dxa"/>
              <w:bottom w:w="25" w:type="dxa"/>
              <w:right w:w="25" w:type="dxa"/>
            </w:tcMar>
            <w:hideMark/>
          </w:tcPr>
          <w:p w:rsidR="00BA7114" w:rsidRPr="00BA7114" w:rsidRDefault="00BA7114" w:rsidP="00BA7114">
            <w:pPr>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Số: 35/2006/NĐ-CP</w:t>
            </w:r>
          </w:p>
        </w:tc>
        <w:tc>
          <w:tcPr>
            <w:tcW w:w="0" w:type="auto"/>
            <w:shd w:val="clear" w:color="auto" w:fill="FFFFFF"/>
            <w:tcMar>
              <w:top w:w="25" w:type="dxa"/>
              <w:left w:w="25" w:type="dxa"/>
              <w:bottom w:w="25" w:type="dxa"/>
              <w:right w:w="25" w:type="dxa"/>
            </w:tcMar>
            <w:hideMark/>
          </w:tcPr>
          <w:p w:rsidR="00BA7114" w:rsidRPr="00BA7114" w:rsidRDefault="00BA7114" w:rsidP="00BA7114">
            <w:pPr>
              <w:spacing w:after="120" w:line="260" w:lineRule="atLeast"/>
              <w:jc w:val="right"/>
              <w:rPr>
                <w:rFonts w:ascii="Verdana" w:eastAsia="Times New Roman" w:hAnsi="Verdana" w:cs="Times New Roman"/>
                <w:color w:val="000000"/>
                <w:sz w:val="20"/>
                <w:szCs w:val="20"/>
              </w:rPr>
            </w:pPr>
            <w:r w:rsidRPr="00BA7114">
              <w:rPr>
                <w:rFonts w:ascii="Verdana" w:eastAsia="Times New Roman" w:hAnsi="Verdana" w:cs="Times New Roman"/>
                <w:i/>
                <w:iCs/>
                <w:color w:val="000000"/>
                <w:sz w:val="20"/>
                <w:szCs w:val="20"/>
              </w:rPr>
              <w:t>Hà Nội, ngày 31 tháng 03 năm 2006 </w:t>
            </w:r>
          </w:p>
        </w:tc>
      </w:tr>
    </w:tbl>
    <w:p w:rsidR="00BA7114" w:rsidRPr="00BA7114" w:rsidRDefault="00BA7114" w:rsidP="00BA7114">
      <w:pPr>
        <w:shd w:val="clear" w:color="auto" w:fill="FFFFFF"/>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 </w:t>
      </w:r>
    </w:p>
    <w:p w:rsidR="00BA7114" w:rsidRPr="00BA7114" w:rsidRDefault="00BA7114" w:rsidP="00BA7114">
      <w:pPr>
        <w:shd w:val="clear" w:color="auto" w:fill="FFFFFF"/>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NGHỊ ĐỊNH</w:t>
      </w:r>
    </w:p>
    <w:p w:rsidR="00BA7114" w:rsidRPr="00BA7114" w:rsidRDefault="00BA7114" w:rsidP="00BA7114">
      <w:pPr>
        <w:shd w:val="clear" w:color="auto" w:fill="FFFFFF"/>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QUY ĐỊNH CHI TIẾT LUẬT THƯƠNG MẠI VỀ HOẠT ĐỘNG NHƯỢNG QUYỀN THƯƠNG MẠI</w:t>
      </w:r>
    </w:p>
    <w:p w:rsidR="00BA7114" w:rsidRPr="00BA7114" w:rsidRDefault="00BA7114" w:rsidP="00BA7114">
      <w:pPr>
        <w:shd w:val="clear" w:color="auto" w:fill="FFFFFF"/>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CHÍNH PHỦ</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i/>
          <w:iCs/>
          <w:color w:val="000000"/>
          <w:sz w:val="20"/>
          <w:szCs w:val="20"/>
        </w:rPr>
        <w:t>Căn cứ Luật Tổ chức Chính phủ ngày 25 tháng 12 năm 2001;</w:t>
      </w:r>
      <w:r w:rsidRPr="00BA7114">
        <w:rPr>
          <w:rFonts w:ascii="Verdana" w:eastAsia="Times New Roman" w:hAnsi="Verdana" w:cs="Times New Roman"/>
          <w:i/>
          <w:iCs/>
          <w:color w:val="000000"/>
          <w:sz w:val="20"/>
          <w:szCs w:val="20"/>
        </w:rPr>
        <w:br/>
        <w:t>Căn cứ Luật Thương mại ngày 14 tháng 6 năm 2005;</w:t>
      </w:r>
      <w:r w:rsidRPr="00BA7114">
        <w:rPr>
          <w:rFonts w:ascii="Verdana" w:eastAsia="Times New Roman" w:hAnsi="Verdana" w:cs="Times New Roman"/>
          <w:i/>
          <w:iCs/>
          <w:color w:val="000000"/>
          <w:sz w:val="20"/>
          <w:szCs w:val="20"/>
        </w:rPr>
        <w:br/>
        <w:t>Theo đề nghị của Bộ trưởng Bộ Thương mại,</w:t>
      </w:r>
    </w:p>
    <w:p w:rsidR="00BA7114" w:rsidRPr="00BA7114" w:rsidRDefault="00BA7114" w:rsidP="00BA7114">
      <w:pPr>
        <w:shd w:val="clear" w:color="auto" w:fill="FFFFFF"/>
        <w:spacing w:after="120" w:line="260" w:lineRule="atLeast"/>
        <w:ind w:firstLine="567"/>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NGHỊ ĐỊNH: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Chương 1:</w:t>
      </w:r>
    </w:p>
    <w:p w:rsidR="00BA7114" w:rsidRPr="00BA7114" w:rsidRDefault="00BA7114" w:rsidP="00BA7114">
      <w:pPr>
        <w:shd w:val="clear" w:color="auto" w:fill="FFFFFF"/>
        <w:spacing w:after="120" w:line="260" w:lineRule="atLeast"/>
        <w:ind w:firstLine="567"/>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QUY ĐỊNH CHUNG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 Phạm vi điều chỉnh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Nghị định này quy định chi tiết Luật Thương mại về hoạt động nhượng quyền thương mại trên lãnh thổ nước Cộng hoà xã hội chủ nghĩa Việt Nam.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 Đối tượng áp dụng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Nghị định này áp dụng đối với thương nhân Việt Nam và thương nhân nước ngoài tham gia vào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Doanh nghiệp có vốn đầu tư nước ngoài chuyên hoạt động mua bán hàng hoá và các hoạt động liên quan trực tiếp đến mua bán hàng hoá, ngoài những quy định tại Điều 7 Nghị định này, chỉ được thực hiện hoạt động nhượng quyền thương mại đối với những mặt hàng mà doanh nghiệp đó được kinh doanh dịch vụ phân phối theo cam kết quốc tế của Việt Nam.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3. Giải thích từ ngữ</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Trong Nghị định này, các từ ngữ dưới đây được hiểu như sau:</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w:t>
      </w:r>
      <w:r w:rsidRPr="00BA7114">
        <w:rPr>
          <w:rFonts w:ascii="Verdana" w:eastAsia="Times New Roman" w:hAnsi="Verdana" w:cs="Times New Roman"/>
          <w:i/>
          <w:iCs/>
          <w:color w:val="000000"/>
          <w:sz w:val="20"/>
          <w:szCs w:val="20"/>
        </w:rPr>
        <w:t>Bên nhượng quyền</w:t>
      </w:r>
      <w:r w:rsidRPr="00BA7114">
        <w:rPr>
          <w:rFonts w:ascii="Verdana" w:eastAsia="Times New Roman" w:hAnsi="Verdana" w:cs="Times New Roman"/>
          <w:color w:val="000000"/>
          <w:sz w:val="20"/>
          <w:szCs w:val="20"/>
        </w:rPr>
        <w:t>” là thương nhân cấp quyền thương mại, bao gồm cả Bên nhượng quyền thứ cấp trong mối quan hệ với Bên nhận quyền thứ cấp.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w:t>
      </w:r>
      <w:r w:rsidRPr="00BA7114">
        <w:rPr>
          <w:rFonts w:ascii="Verdana" w:eastAsia="Times New Roman" w:hAnsi="Verdana" w:cs="Times New Roman"/>
          <w:i/>
          <w:iCs/>
          <w:color w:val="000000"/>
          <w:sz w:val="20"/>
          <w:szCs w:val="20"/>
        </w:rPr>
        <w:t>Bên nhận quyền</w:t>
      </w:r>
      <w:r w:rsidRPr="00BA7114">
        <w:rPr>
          <w:rFonts w:ascii="Verdana" w:eastAsia="Times New Roman" w:hAnsi="Verdana" w:cs="Times New Roman"/>
          <w:color w:val="000000"/>
          <w:sz w:val="20"/>
          <w:szCs w:val="20"/>
        </w:rPr>
        <w:t>” là thương nhân được nhận quyền thương mại, bao gồm cả Bên nhận quyền thứ cấp trong mối quan hệ với Bên nhượng quyền thứ cấp.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lang w:val="en-AU"/>
        </w:rPr>
        <w:t>3. </w:t>
      </w:r>
      <w:r w:rsidRPr="00BA7114">
        <w:rPr>
          <w:rFonts w:ascii="Verdana" w:eastAsia="Times New Roman" w:hAnsi="Verdana" w:cs="Times New Roman"/>
          <w:i/>
          <w:iCs/>
          <w:color w:val="000000"/>
          <w:sz w:val="20"/>
          <w:szCs w:val="20"/>
          <w:lang w:val="en-AU"/>
        </w:rPr>
        <w:t>“Bên nhượng quyền thứ cấp”</w:t>
      </w:r>
      <w:r w:rsidRPr="00BA7114">
        <w:rPr>
          <w:rFonts w:ascii="Verdana" w:eastAsia="Times New Roman" w:hAnsi="Verdana" w:cs="Times New Roman"/>
          <w:color w:val="000000"/>
          <w:sz w:val="20"/>
          <w:szCs w:val="20"/>
          <w:lang w:val="en-AU"/>
        </w:rPr>
        <w:t> là thương nhân có quyền cấp lại quyền thương mại mà mình đã nhận từ Bên nhượng quyền ban đầu cho Bên nhận quyền thứ cấp.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4. </w:t>
      </w:r>
      <w:r w:rsidRPr="00BA7114">
        <w:rPr>
          <w:rFonts w:ascii="Verdana" w:eastAsia="Times New Roman" w:hAnsi="Verdana" w:cs="Times New Roman"/>
          <w:i/>
          <w:iCs/>
          <w:color w:val="000000"/>
          <w:sz w:val="20"/>
          <w:szCs w:val="20"/>
        </w:rPr>
        <w:t>“Bên nhận quyền sơ cấp”</w:t>
      </w:r>
      <w:r w:rsidRPr="00BA7114">
        <w:rPr>
          <w:rFonts w:ascii="Verdana" w:eastAsia="Times New Roman" w:hAnsi="Verdana" w:cs="Times New Roman"/>
          <w:color w:val="000000"/>
          <w:sz w:val="20"/>
          <w:szCs w:val="20"/>
        </w:rPr>
        <w:t> là thương nhân nhận quyền thương mại từ Bên nhượng quyền ban đầu. Bên nhận quyền sơ cấp là Bên nhượng quyền thứ cấp theo nghĩa của khoản 3 Điều này trong mối quan hệ với Bên nhận quyền thứ cấp.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5. “</w:t>
      </w:r>
      <w:r w:rsidRPr="00BA7114">
        <w:rPr>
          <w:rFonts w:ascii="Verdana" w:eastAsia="Times New Roman" w:hAnsi="Verdana" w:cs="Times New Roman"/>
          <w:i/>
          <w:iCs/>
          <w:color w:val="000000"/>
          <w:sz w:val="20"/>
          <w:szCs w:val="20"/>
        </w:rPr>
        <w:t>Bên nhận quyền thứ cấp”</w:t>
      </w:r>
      <w:r w:rsidRPr="00BA7114">
        <w:rPr>
          <w:rFonts w:ascii="Verdana" w:eastAsia="Times New Roman" w:hAnsi="Verdana" w:cs="Times New Roman"/>
          <w:color w:val="000000"/>
          <w:sz w:val="20"/>
          <w:szCs w:val="20"/>
        </w:rPr>
        <w:t> là thương nhân nhận lại quyền thương mại từ Bên nhượng quyền thứ cấp.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4"/>
          <w:sz w:val="20"/>
          <w:szCs w:val="20"/>
        </w:rPr>
        <w:t>6. “</w:t>
      </w:r>
      <w:r w:rsidRPr="00BA7114">
        <w:rPr>
          <w:rFonts w:ascii="Verdana" w:eastAsia="Times New Roman" w:hAnsi="Verdana" w:cs="Times New Roman"/>
          <w:i/>
          <w:iCs/>
          <w:color w:val="000000"/>
          <w:spacing w:val="-4"/>
          <w:sz w:val="20"/>
          <w:szCs w:val="20"/>
        </w:rPr>
        <w:t>Quyền thương mại</w:t>
      </w:r>
      <w:r w:rsidRPr="00BA7114">
        <w:rPr>
          <w:rFonts w:ascii="Verdana" w:eastAsia="Times New Roman" w:hAnsi="Verdana" w:cs="Times New Roman"/>
          <w:color w:val="000000"/>
          <w:spacing w:val="-4"/>
          <w:sz w:val="20"/>
          <w:szCs w:val="20"/>
        </w:rPr>
        <w:t>” bao gồm một, một số hoặc toàn bộ các quyền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a) Quyền được Bên nhượng quyền cho phép và yêu cầu Bên nhận quyền tự mình tiến hành công việc kinh doanh cung cấp hàng hoá hoặc dịch vụ theo một hệ thống do Bên nhượng quyền quy định và được gắn với nhãn hiệu hàng hoá, tên thương mại, khẩu hiệu kinh doanh, biểu tượng kinh doanh, quảng cáo của Bên nhượng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Quyền được Bên nhượng quyền cấp cho Bên nhận quyền sơ cấp quyền thương mại chung;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 Quyền được Bên nhượng quyền thứ cấp cấp lại cho Bên nhận quyền thứ cấp theo hợp đồng nhượng quyền thương mại chung;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d) Quyền được Bên nhượng quyền cấp cho Bên nhận quyền quyền thương mại theo hợp đồng phát triển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7. “</w:t>
      </w:r>
      <w:r w:rsidRPr="00BA7114">
        <w:rPr>
          <w:rFonts w:ascii="Verdana" w:eastAsia="Times New Roman" w:hAnsi="Verdana" w:cs="Times New Roman"/>
          <w:i/>
          <w:iCs/>
          <w:color w:val="000000"/>
          <w:sz w:val="20"/>
          <w:szCs w:val="20"/>
        </w:rPr>
        <w:t>Kinh doanh theo phương thức nhượng quyền thương mại”</w:t>
      </w:r>
      <w:r w:rsidRPr="00BA7114">
        <w:rPr>
          <w:rFonts w:ascii="Verdana" w:eastAsia="Times New Roman" w:hAnsi="Verdana" w:cs="Times New Roman"/>
          <w:color w:val="000000"/>
          <w:sz w:val="20"/>
          <w:szCs w:val="20"/>
        </w:rPr>
        <w:t> là công việc kinh doanh do Bên nhận quyền tiến hành theo hợp đồng nhượng quyền thương mại</w:t>
      </w:r>
      <w:r w:rsidRPr="00BA7114">
        <w:rPr>
          <w:rFonts w:ascii="Verdana" w:eastAsia="Times New Roman" w:hAnsi="Verdana" w:cs="Times New Roman"/>
          <w:color w:val="000000"/>
          <w:sz w:val="20"/>
          <w:szCs w:val="20"/>
          <w:lang w:val="en-AU"/>
        </w:rPr>
        <w:t>.</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8. “</w:t>
      </w:r>
      <w:r w:rsidRPr="00BA7114">
        <w:rPr>
          <w:rFonts w:ascii="Verdana" w:eastAsia="Times New Roman" w:hAnsi="Verdana" w:cs="Times New Roman"/>
          <w:i/>
          <w:iCs/>
          <w:color w:val="000000"/>
          <w:sz w:val="20"/>
          <w:szCs w:val="20"/>
        </w:rPr>
        <w:t>Hợp đồng phát triển quyền thương mại</w:t>
      </w:r>
      <w:r w:rsidRPr="00BA7114">
        <w:rPr>
          <w:rFonts w:ascii="Verdana" w:eastAsia="Times New Roman" w:hAnsi="Verdana" w:cs="Times New Roman"/>
          <w:color w:val="000000"/>
          <w:sz w:val="20"/>
          <w:szCs w:val="20"/>
        </w:rPr>
        <w:t>” là hợp đồng nhượng quyền thương mại theo đó Bên nhượng quyền cấp cho Bên nhận quyền quyền được phép thành lập nhiều hơn một cơ sở của mình để kinh doanh theo phương thức nhượng quyền thương mại trong phạm vi một khu vực địa lý nhất định</w:t>
      </w:r>
      <w:r w:rsidRPr="00BA7114">
        <w:rPr>
          <w:rFonts w:ascii="Verdana" w:eastAsia="Times New Roman" w:hAnsi="Verdana" w:cs="Times New Roman"/>
          <w:color w:val="000000"/>
          <w:sz w:val="20"/>
          <w:szCs w:val="20"/>
          <w:lang w:val="en-AU"/>
        </w:rPr>
        <w:t>.</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9. “</w:t>
      </w:r>
      <w:r w:rsidRPr="00BA7114">
        <w:rPr>
          <w:rFonts w:ascii="Verdana" w:eastAsia="Times New Roman" w:hAnsi="Verdana" w:cs="Times New Roman"/>
          <w:i/>
          <w:iCs/>
          <w:color w:val="000000"/>
          <w:sz w:val="20"/>
          <w:szCs w:val="20"/>
        </w:rPr>
        <w:t>Quyền thương mại</w:t>
      </w:r>
      <w:r w:rsidRPr="00BA7114">
        <w:rPr>
          <w:rFonts w:ascii="Verdana" w:eastAsia="Times New Roman" w:hAnsi="Verdana" w:cs="Times New Roman"/>
          <w:color w:val="000000"/>
          <w:sz w:val="20"/>
          <w:szCs w:val="20"/>
        </w:rPr>
        <w:t> </w:t>
      </w:r>
      <w:r w:rsidRPr="00BA7114">
        <w:rPr>
          <w:rFonts w:ascii="Verdana" w:eastAsia="Times New Roman" w:hAnsi="Verdana" w:cs="Times New Roman"/>
          <w:i/>
          <w:iCs/>
          <w:color w:val="000000"/>
          <w:sz w:val="20"/>
          <w:szCs w:val="20"/>
        </w:rPr>
        <w:t>chung</w:t>
      </w:r>
      <w:r w:rsidRPr="00BA7114">
        <w:rPr>
          <w:rFonts w:ascii="Verdana" w:eastAsia="Times New Roman" w:hAnsi="Verdana" w:cs="Times New Roman"/>
          <w:color w:val="000000"/>
          <w:sz w:val="20"/>
          <w:szCs w:val="20"/>
        </w:rPr>
        <w:t>” là quyền do Bên nhượng quyền trao cho Bên nhượng quyền thứ cấp được phép cấp lại quyền thương mại cho các Bên nhận quyền thứ cấp. Bên nhận quyền thứ cấp không được phép cấp lại quyền thương mại chung đó nữa</w:t>
      </w:r>
      <w:r w:rsidRPr="00BA7114">
        <w:rPr>
          <w:rFonts w:ascii="Verdana" w:eastAsia="Times New Roman" w:hAnsi="Verdana" w:cs="Times New Roman"/>
          <w:color w:val="000000"/>
          <w:sz w:val="20"/>
          <w:szCs w:val="20"/>
          <w:lang w:val="en-AU"/>
        </w:rPr>
        <w:t>.</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10. “</w:t>
      </w:r>
      <w:r w:rsidRPr="00BA7114">
        <w:rPr>
          <w:rFonts w:ascii="Verdana" w:eastAsia="Times New Roman" w:hAnsi="Verdana" w:cs="Times New Roman"/>
          <w:i/>
          <w:iCs/>
          <w:color w:val="000000"/>
          <w:sz w:val="20"/>
          <w:szCs w:val="20"/>
        </w:rPr>
        <w:t>Hợp đồng nhượng quyền thương mại thứ cấp</w:t>
      </w:r>
      <w:r w:rsidRPr="00BA7114">
        <w:rPr>
          <w:rFonts w:ascii="Verdana" w:eastAsia="Times New Roman" w:hAnsi="Verdana" w:cs="Times New Roman"/>
          <w:color w:val="000000"/>
          <w:sz w:val="20"/>
          <w:szCs w:val="20"/>
        </w:rPr>
        <w:t>” là hợp đồng nhượng quyền thương mại ký giữa Bên nhượng quyền thứ cấp và Bên nhận quyền thứ cấp theo quyền thương mại chung</w:t>
      </w:r>
      <w:r w:rsidRPr="00BA7114">
        <w:rPr>
          <w:rFonts w:ascii="Verdana" w:eastAsia="Times New Roman" w:hAnsi="Verdana" w:cs="Times New Roman"/>
          <w:color w:val="000000"/>
          <w:sz w:val="20"/>
          <w:szCs w:val="20"/>
          <w:lang w:val="en-AU"/>
        </w:rPr>
        <w:t>.</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4. Thẩm quyền quản lý nhà nước đối với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Bộ Thương mại chịu trách nhiệm trước Chính phủ thực hiện chức năng quản lý nhà nước đối với hoạt động nhượng quyền thương mại trong phạm vi cả nước và có nhiệm vụ, quyền hạn sau:</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Quản lý thống nhất về mặt nghiệp vụ và hướng dẫn thực hiện các chính sách, quy định của pháp luật về hoạt động nhượng quyền thương mại; tổ chức đăng ký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Chủ trì, phối hợp với các Bộ, cơ quan ngang Bộ, cơ quan thuộc Chính phủ, Ủy ban nhân dân tỉnh, thành phố trực thuộc Trung ương trong việc kiểm tra, kiểm soát, đánh giá, báo cáo lên cơ quan cấp trên có thẩm quyền về các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 Kiến nghị với Chính phủ ban hành mới hoặc ban hành theo thẩm quyền hoặc đề xuất sửa đổi, bổ sung các văn bản pháp luật có liên quan đến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Bộ Tài chính trong phạm vi nhiệm vụ, quyền hạn của mình có trách nhiệm hướng dẫn về chế độ thuế áp dụng đối với hoạt động nhượng quyền thương mại và lệ phí đăng ký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3. Các Bộ, cơ quan ngang Bộ, cơ quan thuộc Chính phủ có trách nhiệm quản lý nhà nước đối với hoạt động nhượng quyền thương mại trong phạm vi  nhiệm vụ, quyền hạn của mình.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0" w:name="cumtu_1"/>
      <w:r w:rsidRPr="00BA7114">
        <w:rPr>
          <w:rFonts w:ascii="Verdana" w:eastAsia="Times New Roman" w:hAnsi="Verdana" w:cs="Times New Roman"/>
          <w:color w:val="000000"/>
          <w:sz w:val="20"/>
          <w:szCs w:val="20"/>
        </w:rPr>
        <w:t>4. Ủy ban nhân dân tỉnh, thành phố trực thuộc Trung ương có trách nhiệm sau đây:</w:t>
      </w:r>
      <w:bookmarkEnd w:id="0"/>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Thực hiện theo thẩm quyền việc quản lý nhà nước đối với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6"/>
          <w:sz w:val="20"/>
          <w:szCs w:val="20"/>
        </w:rPr>
        <w:lastRenderedPageBreak/>
        <w:t>b) Chỉ đạo Sở Thương mại, Sở Thương mại Du lịch tổ chức đăng ký hoạt động nhượng quyền thương mại theo thẩm quyền, kiểm tra, kiểm soát và báo cáo định kỳ hoạt động nhượng quyền thương mại trên địa bàn về Bộ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Chương 2:</w:t>
      </w:r>
    </w:p>
    <w:p w:rsidR="00BA7114" w:rsidRPr="00BA7114" w:rsidRDefault="00BA7114" w:rsidP="00BA7114">
      <w:pPr>
        <w:shd w:val="clear" w:color="auto" w:fill="FFFFFF"/>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MỤC 1: ĐIỀU KIỆN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5. Điều kiện đối với Bên nhượng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Thương nhân được phép cấp quyền thương mại khi đáp ứng đủ các điều kiện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Hệ thống kinh doanh dự định dùng để nhượng quyền đã được hoạt động ít nhất 01 năm.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Trường hợp thương nhân Việt Nam là Bên nhận quyền sơ cấp từ Bên nhượng quyền nước ngoài, thương nhân Việt Nam đó phải kinh doanh theo phương thức nhượng quyền thương mại ít nhất 01 năm ở Việt Nam trước khi tiến hành cấp lại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Đã đăng ký hoạt động nhượng quyền thương mại với cơ quan có thẩm quyền theo quy định tại Điều 18 của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3. Hàng hoá, dịch vụ kinh doanh thuộc đối tượng của quyền thương mại không vi phạm quy định tại Điều 7 của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6. Điều kiện đối với Bên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Thương nhân được phép nhận quyền thương mại khi có đăng ký kinh doanh ngành nghề phù hợp với đối tượng của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7. Hàng hoá, dịch vụ được phép kinh doanh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Hàng hoá, dịch vụ được phép kinh doanh nhượng quyền thương mại là hàng hoá, dịch vụ không thuộc Danh mục hàng hoá, dịch vụ cấm kinh doanh.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Trường hợp hàng hoá, dịch vụ thuộc Danh mục hàng hoá, dịch vụ hạn </w:t>
      </w:r>
      <w:r w:rsidRPr="00BA7114">
        <w:rPr>
          <w:rFonts w:ascii="Verdana" w:eastAsia="Times New Roman" w:hAnsi="Verdana" w:cs="Times New Roman"/>
          <w:color w:val="000000"/>
          <w:spacing w:val="-4"/>
          <w:sz w:val="20"/>
          <w:szCs w:val="20"/>
        </w:rPr>
        <w:t>chế kinh doanh, Danh mục hàng hoá, dịch vụ kinh doanh có điều kiện, doanh nghiệp chỉ được kinh doanh sau khi được cơ quan quản lý ngành cấp Giấy phép kinh doanh, giấy tờ có giá trị tương đương hoặc có đủ</w:t>
      </w:r>
      <w:r w:rsidRPr="00BA7114">
        <w:rPr>
          <w:rFonts w:ascii="Verdana" w:eastAsia="Times New Roman" w:hAnsi="Verdana" w:cs="Times New Roman"/>
          <w:b/>
          <w:bCs/>
          <w:color w:val="000000"/>
          <w:spacing w:val="-4"/>
          <w:sz w:val="20"/>
          <w:szCs w:val="20"/>
        </w:rPr>
        <w:t> </w:t>
      </w:r>
      <w:r w:rsidRPr="00BA7114">
        <w:rPr>
          <w:rFonts w:ascii="Verdana" w:eastAsia="Times New Roman" w:hAnsi="Verdana" w:cs="Times New Roman"/>
          <w:color w:val="000000"/>
          <w:spacing w:val="-4"/>
          <w:sz w:val="20"/>
          <w:szCs w:val="20"/>
        </w:rPr>
        <w:t>điều kiện kinh doanh.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MỤC 2: CUNG CẤP THÔNG TIN </w:t>
      </w:r>
      <w:r w:rsidRPr="00BA7114">
        <w:rPr>
          <w:rFonts w:ascii="Verdana" w:eastAsia="Times New Roman" w:hAnsi="Verdana" w:cs="Times New Roman"/>
          <w:b/>
          <w:bCs/>
          <w:color w:val="000000"/>
          <w:spacing w:val="-4"/>
          <w:sz w:val="20"/>
          <w:szCs w:val="20"/>
        </w:rPr>
        <w:t>VÀ HỢP ĐỒNG TRONG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8. Trách nhiệm cung cấp thông tin của Bên nhượng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Bên nhượng quyền có trách nhiệm cung cấp bản sao hợp đồng nhượng quyền thương mại mẫu và bản giới thiệu về nhượng quyền thương mại của mình cho bên dự kiến nhận quyền ít nhất là 15 ngày làm việc trước khi ký kết hợp đồng nhượng quyền thương mại nếu các bên không có thỏa thuận khác. Các nội dung bắt buộc của bản giới thiệu về nhượng quyền thương mại do Bộ Thương mại quy định và công bố.</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Bên nhượng quyền có trách nhiệm thông báo ngay cho tất cả các Bên nhận quyền về mọi thay đổi quan trọng trong hệ thống nhượng quyền thương mại làm ảnh hưởng đến hoạt động kinh doanh theo phương thức nhượng quyền thương mại của Bên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3. Nếu quyền thương mại là quyền thương mại chung thì ngoài việc cung cấp thông</w:t>
      </w:r>
      <w:r w:rsidRPr="00BA7114">
        <w:rPr>
          <w:rFonts w:ascii="Verdana" w:eastAsia="Times New Roman" w:hAnsi="Verdana" w:cs="Times New Roman"/>
          <w:color w:val="000000"/>
          <w:spacing w:val="-6"/>
          <w:sz w:val="20"/>
          <w:szCs w:val="20"/>
        </w:rPr>
        <w:t> tin theo quy định tại khoản 1 Điều này, Bên nhượng quyền thứ cấp còn phải cung cấp cho bên dự kiến nhận quyền bằng văn bản các nội dung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Thông tin về Bên nhượng quyền đã cấp quyền thương mại cho mình;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b) Nội dung của hợp đồng nhượng quyền thương mại chung;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 Cách xử lý các hợp đồng nhượng quyền thương mại thứ cấp trong trường hợp chấm dứt hợp đồng nhượng quyền thương mại chung.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9. Trách nhiệm cung cấp thông tin của bên dự kiến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Bên dự kiến nhận quyền phải cung cấp cho Bên nhượng quyền các thông tin mà Bên nhượng quyền yêu cầu một cách hợp lý để quyết định việc trao quyền thương mại cho Bên dự kiến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Điều 10. Các đối tượng sở hữu công nghiệp trong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Trường hợp Bên nhượng quyền chuyển giao cho Bên nhận quyền quyền sử dụng các đối tượng sở hữu công nghiệp và các nội dung của quyền thương mại thì phần chuyển giao quyền sử dụng các đối tượng sở hữu công nghiệp đó có thể được lập thành một phần riêng trong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Phần chuyển giao quyền sử dụng các đối tượng sở hữu công nghiệp trong hợp đồng nhượng quyền thương mại chịu sự điều chỉnh của pháp luật về sở hữu công nghiệp.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11. Nội dung của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Trong trường hợp các bên lựa chọn áp dụng luật Việt Nam, hợp đồng nhượng quyền thương mại có thể có các nội dung chủ yếu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Nội dung của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Quyền, nghĩa vụ của Bên nhượng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3. Quyền, nghĩa vụ của Bên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4. Giá cả, phí nhượng quyền định kỳ và phương thức thanh toán.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5. Thời hạn hiệu lực của hợp đồng.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6. Gia hạn, chấm dứt hợp đồng và giải quyết tranh chấp.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12. Ngôn ngữ của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Hợp đồng nhượng quyền thương mại phải được lập bằng tiếng Việt. Trường hợp nhượng quyền từ Việt Nam ra nước ngoài, ngôn ngữ của hợp đồng nhượng quyền thương mại do các bên thoả thuận.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13. Thời hạn của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Thời hạn hợp đồng nhượng quyền thương mại do các bên thoả thuận.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Hợp đồng nhượng quyền thương mại có thể chấm dứt trước thời hạn thoả thuận trong các trường hợp quy định tại Điều 16 của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14. Thời điểm có hiệu lực của hợp đồng</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Hợp đồng nhượng quyền thương mại có hiệu lực từ thời điểm giao kết trừ trường hợp các bên có thoả thuận khác.</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Nếu trong hợp đồng nhượng quyền thương mại có phần nội dung về chuyển giao quyền sử dụng đối tượng sở hữu trí tuệ thì phần đó có hiệu lực theo quy định của pháp luật về sở hữu trí tuệ.</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15. Chuyển giao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1. Bên nhận quyền được chuyển giao quyền thương mại cho bên dự kiến nhận quyền khác khi đáp ứng được các điều kiện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Bên dự kiến nhận chuyển giao đáp ứng các quy định tại Điều 6 của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Được sự chấp thuận của Bên nhượng quyền đã cấp quyền thương mại cho mình (sau đây gọi tắt là Bên nhượng quyền trực tiếp).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Bên nhận quyền phải gửi yêu cầu bằng văn bản về việc chuyển giao quyền thương mại cho Bên nhượng quyền trực tiếp. Trong thời hạn 15 ngày, kể từ ngày nhận được văn bản yêu cầu của Bên nhận quyền, Bên nhượng quyền trực tiếp phải có văn bản trả lời trong đó nêu rõ:</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Chấp thuận việc chuyển giao quyền thương mại của Bên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Từ chối việc chuyển giao quyền thương mại của Bên nhận quyền theo các lý do quy định tại khoản 3 Điều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Trong thời hạn 15 ngày nêu trên, nếu Bên nhượng quyền trực tiếp không có văn bản trả lời thì được coi là chấp thuận việc chuyển giao quyền thương mại của Bên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3. Bên nhượng quyền trực tiếp chỉ được từ chối việc chuyển giao quyền thương mại của Bên nhận quyền khi có một trong các lý do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Bên dự kiến nhận chuyển giao không đáp ứng được các nghĩa vụ tài chính mà bên dự kiến nhận chuyển giao phải thực hiện theo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Bên dự kiến nhận chuyển giao chưa đáp ứng được các tiêu chuẩn lựa chọn của Bên nhượng quyền trực tiếp;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 Việc chuyển giao quyền thương mại sẽ có ảnh hưởng bất lợi lớn đối với hệ thống nhượng quyền thương mại hiện tại;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d) Bên dự kiến nhận chuyển giao không đồng ý bằng văn bản sẽ tuân thủ các nghĩa vụ của Bên nhận quyền theo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đ) Bên nhận quyền chưa hoàn thành các nghĩa vụ đối với Bên nhượng quyền trực tiếp, trừ trường hợp bên dự kiến nhận chuyển giao cam kết bằng văn bản thực hiện các nghĩa vụ đó thay cho Bên nhận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4. Bên chuyển giao quyền thương mại mất quyền thương mại đã chuyển giao. </w:t>
      </w:r>
      <w:r w:rsidRPr="00BA7114">
        <w:rPr>
          <w:rFonts w:ascii="Verdana" w:eastAsia="Times New Roman" w:hAnsi="Verdana" w:cs="Times New Roman"/>
          <w:color w:val="000000"/>
          <w:spacing w:val="-6"/>
          <w:sz w:val="20"/>
          <w:szCs w:val="20"/>
        </w:rPr>
        <w:t>Mọi quyền và nghĩa vụ liên quan đến quyền thương mại của Bên chuyển giao được chuyển cho Bên nhận chuyển giao, trừ trường hợp có thoả thuận khác.</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pacing w:val="-2"/>
          <w:sz w:val="20"/>
          <w:szCs w:val="20"/>
        </w:rPr>
        <w:t>Điều 16. Đơn phương chấm dứt hợp đồng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Bên nhận quyền có quyền đơn phương chấm dứt hợp đồng nhượng quyền thương mại trong trường hợp Bên nhượng quyền vi phạm nghĩa vụ quy định tại Điều 287 của Luật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Bên nhượng quyền có quyền đơn phương chấm dứt hợp đồng nhượng quyền thương mại trong các trường hợp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Bên nhận quyền không còn Giấy phép kinh doanh hoặc giấy tờ có giá trị tương đương mà theo quy định của pháp luật Bên nhận quyền phải có để tiến hành công việc kinh doanh theo phương thức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Bên nhận quyền bị giải thể hoặc bị phá sản theo quy định của pháp luật Việt Nam.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c) Bên nhận quyền vi phạm pháp luật nghiêm trọng có khả năng gây thiệt hại lớn cho uy tín của hệ thống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d) Bên nhận quyền không khắc phục những vi phạm không cơ bản trong hợp đồng nhượng quyền thương mại trong một thời gian hợp lý, mặc dù đã nhận được thông báo bằng văn bản yêu cầu khắc phục vi phạm đó từ Bên nhượng quyền.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1" w:name="muc_3"/>
      <w:r w:rsidRPr="00BA7114">
        <w:rPr>
          <w:rFonts w:ascii="Verdana" w:eastAsia="Times New Roman" w:hAnsi="Verdana" w:cs="Times New Roman"/>
          <w:b/>
          <w:bCs/>
          <w:color w:val="000000"/>
          <w:sz w:val="20"/>
          <w:szCs w:val="20"/>
        </w:rPr>
        <w:t>MỤC 3: ĐĂNG KÝ HOẠT ĐỘNG NHƯỢNG QUYỀN THƯƠNG MẠI</w:t>
      </w:r>
      <w:bookmarkEnd w:id="1"/>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17. Đăng ký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Trước khi tiến hành hoạt động nhượng quyền thương mại, thương nhân Việt Nam hoặc thương nhân nước ngoài dự kiến nhượng quyền phải đăng ký hoạt động nhượng quyền thương mại với cơ quan có thẩm quyền theo quy định tại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Cơ quan có thẩm quyền đăng ký hoạt động nhượng quyền thương mại có trách nhiệm đăng ký hoạt động nhượng quyền thương mại của thương nhân vào Sổ đăng ký hoạt động nhượng quyền thương mại và thông báo bằng văn bản cho thương nhân về việc đăng ký đó.</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2" w:name="dieu_18"/>
      <w:r w:rsidRPr="00BA7114">
        <w:rPr>
          <w:rFonts w:ascii="Verdana" w:eastAsia="Times New Roman" w:hAnsi="Verdana" w:cs="Times New Roman"/>
          <w:b/>
          <w:bCs/>
          <w:color w:val="000000"/>
          <w:sz w:val="20"/>
          <w:szCs w:val="20"/>
        </w:rPr>
        <w:t>Điều 18. Phân cấp thực hiện đăng ký hoạt động nhượng quyền thương mại</w:t>
      </w:r>
      <w:bookmarkEnd w:id="2"/>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Bộ Thương mại thực hiện đăng ký hoạt động nhượng quyền thương mại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6"/>
          <w:sz w:val="20"/>
          <w:szCs w:val="20"/>
        </w:rPr>
        <w:t>a) Nhượng quyền thương mại từ nước ngoài vào Việt Nam, bao gồm cả hoạt động nhượng quyền thương mại từ Khu chế xuất, Khu phi thuế quan hoặc các khu vực hải quan riêng theo quy định của pháp luật Việt Nam vào lãnh thổ Việt Nam;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3" w:name="cumtu_3"/>
      <w:r w:rsidRPr="00BA7114">
        <w:rPr>
          <w:rFonts w:ascii="Verdana" w:eastAsia="Times New Roman" w:hAnsi="Verdana" w:cs="Times New Roman"/>
          <w:color w:val="000000"/>
          <w:sz w:val="20"/>
          <w:szCs w:val="20"/>
        </w:rPr>
        <w:t>b) Nhượng quyền thương mại từ Việt Nam ra nước ngoài, bao gồm cả hoạt động nhượng quyền thương mại từ lãnh thổ Việt Nam vào Khu chế xuất, Khu phi thuế quan hoặc các khu vực hải quan riêng theo quy định của pháp luật Việt Nam.</w:t>
      </w:r>
      <w:bookmarkEnd w:id="3"/>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4" w:name="cumtu_4"/>
      <w:r w:rsidRPr="00BA7114">
        <w:rPr>
          <w:rFonts w:ascii="Verdana" w:eastAsia="Times New Roman" w:hAnsi="Verdana" w:cs="Times New Roman"/>
          <w:color w:val="000000"/>
          <w:sz w:val="20"/>
          <w:szCs w:val="20"/>
        </w:rPr>
        <w:t>2. Sở Thương mại, Sở Thương mại Du lịch tỉnh, thành phố trực thuộc Trung ương nơi thương nhân dự kiến nhượng quyền đăng ký kinh doanh thực hiện đăng ký đối với hoạt động nhượng quyền thương mại trong nước trừ hoạt động chuyển giao qua ranh giới Khu chế xuất, Khu phi thuế quan hoặc các khu vực hải quan riêng theo quy định của pháp luật Việt Nam.</w:t>
      </w:r>
      <w:bookmarkEnd w:id="4"/>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5" w:name="dieu_19"/>
      <w:r w:rsidRPr="00BA7114">
        <w:rPr>
          <w:rFonts w:ascii="Verdana" w:eastAsia="Times New Roman" w:hAnsi="Verdana" w:cs="Times New Roman"/>
          <w:b/>
          <w:bCs/>
          <w:color w:val="000000"/>
          <w:sz w:val="20"/>
          <w:szCs w:val="20"/>
        </w:rPr>
        <w:t>Điều 19. Hồ sơ đề nghị đăng ký hoạt động nhượng quyền thương mại</w:t>
      </w:r>
      <w:bookmarkEnd w:id="5"/>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Hồ sơ đề nghị đăng ký hoạt động nhượng quyền thương mại bao gồm: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Đơn đề nghị đăng ký hoạt động nhượng quyền thương mại theo mẫu do Bộ Thương mại hướng dẫn.</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Bản giới thiệu về nhượng quyền thương mại theo mẫu do Bộ Thương mại quy định.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3. Các văn bản xác nhận về:</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Tư cách pháp lý của bên dự kiến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Văn bằng bảo hộ quyền sở hữu công nghiệp tại Việt Nam hoặc tại nước ngoài trong trường hợp có chuyển giao quyền sử dụng các đối tượng sở hữu công nghiệp đã được cấp văn bằng bảo hộ.</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6" w:name="cumtu_2"/>
      <w:r w:rsidRPr="00BA7114">
        <w:rPr>
          <w:rFonts w:ascii="Verdana" w:eastAsia="Times New Roman" w:hAnsi="Verdana" w:cs="Times New Roman"/>
          <w:color w:val="000000"/>
          <w:sz w:val="20"/>
          <w:szCs w:val="20"/>
        </w:rPr>
        <w:t>4. Nếu giấy tờ quy định tại khoản 2 và khoản 3 Điều này được thể hiện bằng tiếng nước ngoài thì phải được dịch ra tiếng Việt và được cơ quan công chứng ở trong nước hoặc cơ quan đại diện ngoại giao của Việt Nam ở nước ngoài chứng nhận và thực hiện việc hợp pháp hóa lãnh sự theo quy định của pháp luật Việt Nam.</w:t>
      </w:r>
      <w:bookmarkEnd w:id="6"/>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7" w:name="dieu_20"/>
      <w:r w:rsidRPr="00BA7114">
        <w:rPr>
          <w:rFonts w:ascii="Verdana" w:eastAsia="Times New Roman" w:hAnsi="Verdana" w:cs="Times New Roman"/>
          <w:b/>
          <w:bCs/>
          <w:color w:val="000000"/>
          <w:sz w:val="20"/>
          <w:szCs w:val="20"/>
        </w:rPr>
        <w:t>Điều 20. Thủ tục đăng ký hoạt động nhượng quyền thương mại</w:t>
      </w:r>
      <w:bookmarkEnd w:id="7"/>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1. Bên dự kiến nhượng quyền thương mại có trách nhiệm đăng ký hoạt động nhượng quyền thương mại theo thủ tục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4"/>
          <w:sz w:val="20"/>
          <w:szCs w:val="20"/>
        </w:rPr>
        <w:t>a) Gửi hồ sơ đề nghị đăng ký hoạt động nhượng quyền thương mại đến cơ quan nhà nước có thẩm quyền theo quy định tại Điều 18 của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Trong thời hạn 05 ngày làm việc, kể từ khi nhận đủ hồ sơ hợp lệ, cơ quan nhà nước có thẩm quyền thực hiện đăng ký hoạt động nhượng quyền thương mại vào Sổ đăng ký hoạt động nhượng quyền thương mại và thông báo bằng văn bản cho thương nhân về việc đăng ký đó.</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 Trường hợp hồ sơ chưa đầy đủ hoặc chưa hợp lệ, trong thời hạn 02 ngày làm việc, kể từ ngày nhận được hồ sơ, cơ quan nhà nước có thẩm quyền phải có văn bản thông báo để Bên dự kiến nhượng quyền bổ sung, hoàn chỉnh hồ sơ;</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d) Các thời hạn nêu tại khoản này không kể thời gian Bên dự kiến nhượng quyền sửa đổi, bổ sung hồ sơ đề nghị đăng ký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đ) Sau khi hết thời hạn quy định tại khoản này mà cơ quan nhà nước có thẩm quyền từ chối việc đăng ký thì phải thông báo bằng văn bản cho Bên dự kiến nhượng quyền và nêu rõ lý do.</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Thủ tục đăng ký hợp đồng chuyển giao quyền sử dụng các đối tượng sở hữu công nghiệp được thực hiện theo quy định của pháp luật về sở hữu                  công nghiệp.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8" w:name="dieu_21"/>
      <w:r w:rsidRPr="00BA7114">
        <w:rPr>
          <w:rFonts w:ascii="Verdana" w:eastAsia="Times New Roman" w:hAnsi="Verdana" w:cs="Times New Roman"/>
          <w:b/>
          <w:bCs/>
          <w:color w:val="000000"/>
          <w:sz w:val="20"/>
          <w:szCs w:val="20"/>
        </w:rPr>
        <w:t>Điều 21. Thông báo thay đổi thông tin đăng ký trong hoạt động nhượng quyền thương mại</w:t>
      </w:r>
      <w:bookmarkEnd w:id="8"/>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Khi có sự thay đổi các thông tin đã đăng ký quy định tại khoản 2 và khoản 3 Điều 19 của Nghị định này, Bên nhượng quyền có trách nhiệm thông báo cho cơ quan nhà nước có thẩm quyền nơi đã đăng ký hoạt động nhượng quyền thương mại trong thời hạn 30 ngày, kể từ ngày có thay đổi các thông tin đã đăng ký.</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bookmarkStart w:id="9" w:name="dieu_22"/>
      <w:r w:rsidRPr="00BA7114">
        <w:rPr>
          <w:rFonts w:ascii="Verdana" w:eastAsia="Times New Roman" w:hAnsi="Verdana" w:cs="Times New Roman"/>
          <w:b/>
          <w:bCs/>
          <w:color w:val="000000"/>
          <w:sz w:val="20"/>
          <w:szCs w:val="20"/>
        </w:rPr>
        <w:t>Điều  22</w:t>
      </w:r>
      <w:r w:rsidRPr="00BA7114">
        <w:rPr>
          <w:rFonts w:ascii="Verdana" w:eastAsia="Times New Roman" w:hAnsi="Verdana" w:cs="Times New Roman"/>
          <w:color w:val="000000"/>
          <w:sz w:val="20"/>
          <w:szCs w:val="20"/>
        </w:rPr>
        <w:t>. </w:t>
      </w:r>
      <w:r w:rsidRPr="00BA7114">
        <w:rPr>
          <w:rFonts w:ascii="Verdana" w:eastAsia="Times New Roman" w:hAnsi="Verdana" w:cs="Times New Roman"/>
          <w:b/>
          <w:bCs/>
          <w:color w:val="000000"/>
          <w:sz w:val="20"/>
          <w:szCs w:val="20"/>
        </w:rPr>
        <w:t>Xóa đăng ký hoạt động nhượng quyền thương mại</w:t>
      </w:r>
      <w:bookmarkEnd w:id="9"/>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Đăng ký hoạt động nhượng quyền thương mại của thương nhân bị xóa trong những trường hợp sau đây: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a) Thương nhân kinh doanh nhượng quyền thương mại ngừng kinh doanh hoặc chuyển đổi ngành nghề kinh doanh;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Thương nhân bị thu hồi Giấy chứng nhận đăng ký kinh doanh hoặc Giấy chứng nhận đầu tư.</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Cơ quan thực hiện đăng ký hoạt động nhượng quyền thương mại có trách nhiệm công bố công khai việc xoá đăng ký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23. Lệ phí đăng ký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Bên dự kiến nhượng quyền thương mại phải nộp lệ phí đăng ký hoạt động nhượng quyền thương mại. Mức thu lệ phí và chế độ quản lý, sử dụng lệ phí thực hiện theo hướng dẫn của Bộ Tài chính.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MỤC 4: HÀNH VI VI PHẠM PHÁP LUẬT TRONG HOẠT ĐỘNG NHƯỢNG QUYỀN THƯƠNG MẠI VÀ THẨM QUYỀN XỬ LÝ VI PHẠM</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24. Hành vi vi phạm pháp luật trong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1. Thương nhân tham gia hoạt động nhượng quyền thương mại có hành vi vi phạm sau đây thì tùy theo tính chất, mức độ vi phạm mà bị xử phạt vi phạm hành chính theo quy định của pháp luật về xử lý vi phạm hành chính: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2"/>
          <w:sz w:val="20"/>
          <w:szCs w:val="20"/>
        </w:rPr>
        <w:t>a) Kinh doanh nhượng quyền thương mại khi chưa đủ điều kiện quy định;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b) Nhượng quyền thương mại đối với những hàng hoá, dịch vụ cấm kinh doanh;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 Vi phạm nghĩa vụ cung cấp thông tin trong hoạt động nhượng quyền thương mại quy định tại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d) Thông tin trong bản giới thiệu về nhượng quyền thương mại có nội dung không trung thực;</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đ) Vi phạm quy định về đăng ký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8"/>
          <w:sz w:val="20"/>
          <w:szCs w:val="20"/>
        </w:rPr>
        <w:t>e) Vi phạm quy định về thông báo trong hoạt động nhượng quyền thương mại;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g) Không nộp thuế theo quy định của pháp luật mà chưa đến mức truy cứu trách nhiệm hình sự;</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h) Không chấp hành các yêu cầu của cơ quan nhà nước có thẩm quyền khi tiến hành kiểm tra, thanh tra;</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i) Vi phạm các quy định khác của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Trường hợp thương nhân kinh doanh theo phương thức nhượng quyền thương mại có hành vi vi phạm gây thiệt đến lợi ích vật chất của tổ chức, cá nhân liên quan thì phải bồi thường thiệt hại theo quy định của pháp luật.</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25. Thẩm quyền, thủ tục xử lý vi phạm hành chính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Thẩm quyền và thủ tục xử lý vi phạm hành chính đối với các hành vi quy định tại Điều 24 của Nghị định này được thực hiện theo quy định của pháp luật về xử lý vi phạm hành chính.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26. Khiếu nại, tố cáo</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pacing w:val="-4"/>
          <w:sz w:val="20"/>
          <w:szCs w:val="20"/>
        </w:rPr>
        <w:t>1. Tổ chức, cá nhân có quyền khiếu nại về việc đăng ký hoạt động nhượng quyền thương mại, nộp thuế và lệ phí, thanh tra, kiểm tra và xử lý vi phạm trong hoạt động nhượng quyền thương mại theo quy đinh của pháp luật về khiếu nại.</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2. Cá nhân có quyền tố cáo các hành vi vi phạm pháp luật trong hoạt động nhượng quyền thương mại theo quy định của pháp luật về tố cáo.</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Chương 3:</w:t>
      </w:r>
    </w:p>
    <w:p w:rsidR="00BA7114" w:rsidRPr="00BA7114" w:rsidRDefault="00BA7114" w:rsidP="00BA7114">
      <w:pPr>
        <w:shd w:val="clear" w:color="auto" w:fill="FFFFFF"/>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KHOẢN THI HÀNH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27. Quy định chuyển tiếp</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Các hoạt động nhượng quyền thương mại đã được thực hiện trước thời điểm Nghị định này có hiệu lực phải làm thủ tục đăng ký theo quy định của Nghị định này trong thời hạn 03 tháng, kể từ ngày Nghị định này có hiệu lực thi hành.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Điều 28. Hiệu lực thi hành</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1. Nghị định này có hiệu lực thi hành sau 15 ngày, kể từ ngày đăng Công báo. Bãi bỏ các quy định trước đây có liên quan đến hoạt động nhượng quyền thương mại trái với những quy định tại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lastRenderedPageBreak/>
        <w:t>2. Các Bộ trưởng, Thủ trưởng cơ quan ngang Bộ, Thủ trưởng cơ quan thuộc Chính phủ, Chủ tịch ñy ban nhân dân các tỉnh, thành phố trực thuộc Trung ương chịu trách nhiệm hướng dẫn và thi hành Nghị định này./.</w:t>
      </w:r>
    </w:p>
    <w:p w:rsidR="00BA7114" w:rsidRPr="00BA7114" w:rsidRDefault="00BA7114" w:rsidP="00BA7114">
      <w:pPr>
        <w:shd w:val="clear" w:color="auto" w:fill="FFFFFF"/>
        <w:spacing w:after="12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5122"/>
        <w:gridCol w:w="4265"/>
      </w:tblGrid>
      <w:tr w:rsidR="00BA7114" w:rsidRPr="00BA7114" w:rsidTr="00BA7114">
        <w:tc>
          <w:tcPr>
            <w:tcW w:w="4264" w:type="dxa"/>
            <w:shd w:val="clear" w:color="auto" w:fill="FFFFFF"/>
            <w:tcMar>
              <w:top w:w="0" w:type="dxa"/>
              <w:left w:w="108" w:type="dxa"/>
              <w:bottom w:w="0" w:type="dxa"/>
              <w:right w:w="108" w:type="dxa"/>
            </w:tcMar>
            <w:hideMark/>
          </w:tcPr>
          <w:p w:rsidR="00BA7114" w:rsidRPr="00BA7114" w:rsidRDefault="00BA7114" w:rsidP="00BA7114">
            <w:pPr>
              <w:spacing w:after="240" w:line="260" w:lineRule="atLeast"/>
              <w:jc w:val="both"/>
              <w:rPr>
                <w:rFonts w:ascii="Verdana" w:eastAsia="Times New Roman" w:hAnsi="Verdana" w:cs="Times New Roman"/>
                <w:color w:val="000000"/>
                <w:sz w:val="20"/>
                <w:szCs w:val="20"/>
              </w:rPr>
            </w:pPr>
            <w:r w:rsidRPr="00BA7114">
              <w:rPr>
                <w:rFonts w:ascii="Verdana" w:eastAsia="Times New Roman" w:hAnsi="Verdana" w:cs="Times New Roman"/>
                <w:b/>
                <w:bCs/>
                <w:i/>
                <w:iCs/>
                <w:color w:val="000000"/>
                <w:sz w:val="20"/>
                <w:szCs w:val="20"/>
              </w:rPr>
              <w:br/>
              <w:t>Nơi nhận:</w:t>
            </w:r>
            <w:r w:rsidRPr="00BA7114">
              <w:rPr>
                <w:rFonts w:ascii="Verdana" w:eastAsia="Times New Roman" w:hAnsi="Verdana" w:cs="Times New Roman"/>
                <w:b/>
                <w:bCs/>
                <w:i/>
                <w:iCs/>
                <w:color w:val="000000"/>
                <w:sz w:val="20"/>
                <w:szCs w:val="20"/>
              </w:rPr>
              <w:br/>
            </w:r>
            <w:r w:rsidRPr="00BA7114">
              <w:rPr>
                <w:rFonts w:ascii="Verdana" w:eastAsia="Times New Roman" w:hAnsi="Verdana" w:cs="Times New Roman"/>
                <w:color w:val="000000"/>
                <w:sz w:val="16"/>
                <w:szCs w:val="16"/>
              </w:rPr>
              <w:t>- Ban Bí thư Trung ương Đảng;</w:t>
            </w:r>
            <w:r w:rsidRPr="00BA7114">
              <w:rPr>
                <w:rFonts w:ascii="Verdana" w:eastAsia="Times New Roman" w:hAnsi="Verdana" w:cs="Times New Roman"/>
                <w:color w:val="000000"/>
                <w:sz w:val="16"/>
                <w:szCs w:val="16"/>
              </w:rPr>
              <w:br/>
              <w:t>- Thủ tướng, các Phó Thủ tướng Chính phủ;</w:t>
            </w:r>
            <w:r w:rsidRPr="00BA7114">
              <w:rPr>
                <w:rFonts w:ascii="Verdana" w:eastAsia="Times New Roman" w:hAnsi="Verdana" w:cs="Times New Roman"/>
                <w:color w:val="000000"/>
                <w:sz w:val="16"/>
                <w:szCs w:val="16"/>
              </w:rPr>
              <w:br/>
              <w:t>- Các Bộ, cơ quan ngang Bộ, cơ quan thuộc CP;</w:t>
            </w:r>
            <w:r w:rsidRPr="00BA7114">
              <w:rPr>
                <w:rFonts w:ascii="Verdana" w:eastAsia="Times New Roman" w:hAnsi="Verdana" w:cs="Times New Roman"/>
                <w:color w:val="000000"/>
                <w:sz w:val="16"/>
                <w:szCs w:val="16"/>
              </w:rPr>
              <w:br/>
              <w:t>- HĐND, UBND các tỉnh, </w:t>
            </w:r>
            <w:r w:rsidRPr="00BA7114">
              <w:rPr>
                <w:rFonts w:ascii="Verdana" w:eastAsia="Times New Roman" w:hAnsi="Verdana" w:cs="Times New Roman"/>
                <w:color w:val="000000"/>
                <w:sz w:val="16"/>
                <w:szCs w:val="16"/>
              </w:rPr>
              <w:br/>
              <w:t>  thành phố trực thuộc Trung ương;</w:t>
            </w:r>
            <w:r w:rsidRPr="00BA7114">
              <w:rPr>
                <w:rFonts w:ascii="Verdana" w:eastAsia="Times New Roman" w:hAnsi="Verdana" w:cs="Times New Roman"/>
                <w:color w:val="000000"/>
                <w:sz w:val="16"/>
                <w:szCs w:val="16"/>
              </w:rPr>
              <w:br/>
              <w:t>- Văn phòng Trung ương và các Ban của Đảng;                                        </w:t>
            </w:r>
            <w:r w:rsidRPr="00BA7114">
              <w:rPr>
                <w:rFonts w:ascii="Verdana" w:eastAsia="Times New Roman" w:hAnsi="Verdana" w:cs="Times New Roman"/>
                <w:color w:val="000000"/>
                <w:sz w:val="16"/>
                <w:szCs w:val="16"/>
              </w:rPr>
              <w:br/>
              <w:t>- Văn phòng Chủ tịch nước;</w:t>
            </w:r>
            <w:r w:rsidRPr="00BA7114">
              <w:rPr>
                <w:rFonts w:ascii="Verdana" w:eastAsia="Times New Roman" w:hAnsi="Verdana" w:cs="Times New Roman"/>
                <w:color w:val="000000"/>
                <w:sz w:val="16"/>
                <w:szCs w:val="16"/>
              </w:rPr>
              <w:br/>
              <w:t>- Hội đồng Dân tộc và các Ủy ban của QH;</w:t>
            </w:r>
            <w:r w:rsidRPr="00BA7114">
              <w:rPr>
                <w:rFonts w:ascii="Verdana" w:eastAsia="Times New Roman" w:hAnsi="Verdana" w:cs="Times New Roman"/>
                <w:color w:val="000000"/>
                <w:sz w:val="16"/>
                <w:szCs w:val="16"/>
              </w:rPr>
              <w:br/>
              <w:t>- Văn phòng Quốc hội;                                                                      </w:t>
            </w:r>
            <w:r w:rsidRPr="00BA7114">
              <w:rPr>
                <w:rFonts w:ascii="Verdana" w:eastAsia="Times New Roman" w:hAnsi="Verdana" w:cs="Times New Roman"/>
                <w:color w:val="000000"/>
                <w:sz w:val="16"/>
                <w:szCs w:val="16"/>
              </w:rPr>
              <w:br/>
              <w:t>- Tòa án nhân dân tối cao;                                                                                 </w:t>
            </w:r>
            <w:r w:rsidRPr="00BA7114">
              <w:rPr>
                <w:rFonts w:ascii="Verdana" w:eastAsia="Times New Roman" w:hAnsi="Verdana" w:cs="Times New Roman"/>
                <w:b/>
                <w:bCs/>
                <w:color w:val="000000"/>
                <w:sz w:val="16"/>
                <w:szCs w:val="16"/>
              </w:rPr>
              <w:br/>
            </w:r>
            <w:r w:rsidRPr="00BA7114">
              <w:rPr>
                <w:rFonts w:ascii="Verdana" w:eastAsia="Times New Roman" w:hAnsi="Verdana" w:cs="Times New Roman"/>
                <w:color w:val="000000"/>
                <w:sz w:val="16"/>
                <w:szCs w:val="16"/>
              </w:rPr>
              <w:t>- Viện Kiểm sát nhân dân tối cao;</w:t>
            </w:r>
            <w:r w:rsidRPr="00BA7114">
              <w:rPr>
                <w:rFonts w:ascii="Verdana" w:eastAsia="Times New Roman" w:hAnsi="Verdana" w:cs="Times New Roman"/>
                <w:b/>
                <w:bCs/>
                <w:color w:val="000000"/>
                <w:sz w:val="16"/>
                <w:szCs w:val="16"/>
              </w:rPr>
              <w:t>                                     </w:t>
            </w:r>
            <w:r w:rsidRPr="00BA7114">
              <w:rPr>
                <w:rFonts w:ascii="Verdana" w:eastAsia="Times New Roman" w:hAnsi="Verdana" w:cs="Times New Roman"/>
                <w:b/>
                <w:bCs/>
                <w:color w:val="000000"/>
                <w:sz w:val="16"/>
                <w:szCs w:val="16"/>
              </w:rPr>
              <w:br/>
            </w:r>
            <w:r w:rsidRPr="00BA7114">
              <w:rPr>
                <w:rFonts w:ascii="Verdana" w:eastAsia="Times New Roman" w:hAnsi="Verdana" w:cs="Times New Roman"/>
                <w:color w:val="000000"/>
                <w:sz w:val="16"/>
                <w:szCs w:val="16"/>
              </w:rPr>
              <w:t>- Cơ quan Trung ương của các đoàn thể;</w:t>
            </w:r>
            <w:r w:rsidRPr="00BA7114">
              <w:rPr>
                <w:rFonts w:ascii="Verdana" w:eastAsia="Times New Roman" w:hAnsi="Verdana" w:cs="Times New Roman"/>
                <w:color w:val="000000"/>
                <w:sz w:val="16"/>
                <w:szCs w:val="16"/>
              </w:rPr>
              <w:br/>
              <w:t>- Học viện Hành chính quốc gia;</w:t>
            </w:r>
            <w:r w:rsidRPr="00BA7114">
              <w:rPr>
                <w:rFonts w:ascii="Verdana" w:eastAsia="Times New Roman" w:hAnsi="Verdana" w:cs="Times New Roman"/>
                <w:color w:val="000000"/>
                <w:sz w:val="16"/>
                <w:szCs w:val="16"/>
              </w:rPr>
              <w:br/>
              <w:t>- VPCP: BTCN, TBNC, các PCN, BNC,</w:t>
            </w:r>
            <w:r w:rsidRPr="00BA7114">
              <w:rPr>
                <w:rFonts w:ascii="Verdana" w:eastAsia="Times New Roman" w:hAnsi="Verdana" w:cs="Times New Roman"/>
                <w:color w:val="000000"/>
                <w:sz w:val="16"/>
                <w:szCs w:val="16"/>
              </w:rPr>
              <w:br/>
              <w:t>  Ban Điều hành 112, Website Chính phủ,</w:t>
            </w:r>
            <w:r w:rsidRPr="00BA7114">
              <w:rPr>
                <w:rFonts w:ascii="Verdana" w:eastAsia="Times New Roman" w:hAnsi="Verdana" w:cs="Times New Roman"/>
                <w:color w:val="000000"/>
                <w:sz w:val="16"/>
                <w:szCs w:val="16"/>
              </w:rPr>
              <w:br/>
              <w:t>  Người phát ngôn của Thủ tướng Chính phủ,</w:t>
            </w:r>
            <w:r w:rsidRPr="00BA7114">
              <w:rPr>
                <w:rFonts w:ascii="Verdana" w:eastAsia="Times New Roman" w:hAnsi="Verdana" w:cs="Times New Roman"/>
                <w:color w:val="000000"/>
                <w:sz w:val="16"/>
                <w:szCs w:val="16"/>
              </w:rPr>
              <w:br/>
              <w:t>  các Vụ, Cục, đơn vị trực thuộc, Công báo;</w:t>
            </w:r>
            <w:r w:rsidRPr="00BA7114">
              <w:rPr>
                <w:rFonts w:ascii="Verdana" w:eastAsia="Times New Roman" w:hAnsi="Verdana" w:cs="Times New Roman"/>
                <w:color w:val="000000"/>
                <w:sz w:val="16"/>
                <w:szCs w:val="16"/>
              </w:rPr>
              <w:br/>
              <w:t>- Lưu: Văn thư, KTTH (5b). XH. (315)</w:t>
            </w:r>
          </w:p>
        </w:tc>
        <w:tc>
          <w:tcPr>
            <w:tcW w:w="4265" w:type="dxa"/>
            <w:shd w:val="clear" w:color="auto" w:fill="FFFFFF"/>
            <w:tcMar>
              <w:top w:w="0" w:type="dxa"/>
              <w:left w:w="108" w:type="dxa"/>
              <w:bottom w:w="0" w:type="dxa"/>
              <w:right w:w="108" w:type="dxa"/>
            </w:tcMar>
            <w:hideMark/>
          </w:tcPr>
          <w:p w:rsidR="00BA7114" w:rsidRPr="00BA7114" w:rsidRDefault="00BA7114" w:rsidP="00BA7114">
            <w:pPr>
              <w:spacing w:after="120" w:line="260" w:lineRule="atLeast"/>
              <w:jc w:val="center"/>
              <w:rPr>
                <w:rFonts w:ascii="Verdana" w:eastAsia="Times New Roman" w:hAnsi="Verdana" w:cs="Times New Roman"/>
                <w:color w:val="000000"/>
                <w:sz w:val="20"/>
                <w:szCs w:val="20"/>
              </w:rPr>
            </w:pPr>
            <w:r w:rsidRPr="00BA7114">
              <w:rPr>
                <w:rFonts w:ascii="Verdana" w:eastAsia="Times New Roman" w:hAnsi="Verdana" w:cs="Times New Roman"/>
                <w:b/>
                <w:bCs/>
                <w:color w:val="000000"/>
                <w:sz w:val="20"/>
                <w:szCs w:val="20"/>
              </w:rPr>
              <w:t>TM. CHÍNH PHỦ</w:t>
            </w:r>
            <w:r w:rsidRPr="00BA7114">
              <w:rPr>
                <w:rFonts w:ascii="Verdana" w:eastAsia="Times New Roman" w:hAnsi="Verdana" w:cs="Times New Roman"/>
                <w:b/>
                <w:bCs/>
                <w:color w:val="000000"/>
                <w:sz w:val="20"/>
                <w:szCs w:val="20"/>
              </w:rPr>
              <w:br/>
              <w:t>THỦ TƯỚNG</w:t>
            </w:r>
            <w:r w:rsidRPr="00BA7114">
              <w:rPr>
                <w:rFonts w:ascii="Verdana" w:eastAsia="Times New Roman" w:hAnsi="Verdana" w:cs="Times New Roman"/>
                <w:b/>
                <w:bCs/>
                <w:color w:val="000000"/>
                <w:sz w:val="20"/>
                <w:szCs w:val="20"/>
              </w:rPr>
              <w:br/>
            </w:r>
            <w:r w:rsidRPr="00BA7114">
              <w:rPr>
                <w:rFonts w:ascii="Verdana" w:eastAsia="Times New Roman" w:hAnsi="Verdana" w:cs="Times New Roman"/>
                <w:b/>
                <w:bCs/>
                <w:color w:val="000000"/>
                <w:sz w:val="20"/>
                <w:szCs w:val="20"/>
              </w:rPr>
              <w:br/>
            </w:r>
            <w:r w:rsidRPr="00BA7114">
              <w:rPr>
                <w:rFonts w:ascii="Verdana" w:eastAsia="Times New Roman" w:hAnsi="Verdana" w:cs="Times New Roman"/>
                <w:b/>
                <w:bCs/>
                <w:color w:val="000000"/>
                <w:sz w:val="20"/>
                <w:szCs w:val="20"/>
              </w:rPr>
              <w:br/>
            </w:r>
            <w:r w:rsidRPr="00BA7114">
              <w:rPr>
                <w:rFonts w:ascii="Verdana" w:eastAsia="Times New Roman" w:hAnsi="Verdana" w:cs="Times New Roman"/>
                <w:b/>
                <w:bCs/>
                <w:color w:val="000000"/>
                <w:sz w:val="20"/>
                <w:szCs w:val="20"/>
              </w:rPr>
              <w:br/>
            </w:r>
            <w:r w:rsidRPr="00BA7114">
              <w:rPr>
                <w:rFonts w:ascii="Verdana" w:eastAsia="Times New Roman" w:hAnsi="Verdana" w:cs="Times New Roman"/>
                <w:b/>
                <w:bCs/>
                <w:color w:val="000000"/>
                <w:sz w:val="20"/>
                <w:szCs w:val="20"/>
              </w:rPr>
              <w:br/>
              <w:t>Phan Văn Khải</w:t>
            </w:r>
          </w:p>
        </w:tc>
      </w:tr>
    </w:tbl>
    <w:p w:rsidR="0038036D" w:rsidRDefault="0038036D">
      <w:bookmarkStart w:id="10" w:name="_GoBack"/>
      <w:bookmarkEnd w:id="10"/>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14"/>
    <w:rsid w:val="0038036D"/>
    <w:rsid w:val="00BA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3192</Words>
  <Characters>18198</Characters>
  <Application>Microsoft Office Word</Application>
  <DocSecurity>0</DocSecurity>
  <Lines>151</Lines>
  <Paragraphs>42</Paragraphs>
  <ScaleCrop>false</ScaleCrop>
  <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2014-03-17T09:06:00Z</dcterms:created>
  <dcterms:modified xsi:type="dcterms:W3CDTF">2014-03-17T09:07:00Z</dcterms:modified>
</cp:coreProperties>
</file>